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584E" w14:textId="13192865" w:rsidR="00926912" w:rsidRDefault="00926912" w:rsidP="00926912">
      <w:pPr>
        <w:ind w:left="-851" w:right="-801"/>
      </w:pPr>
      <w:r>
        <w:t xml:space="preserve">                                                                                           </w:t>
      </w:r>
      <w:r w:rsidRPr="00926912">
        <w:rPr>
          <w:noProof/>
        </w:rPr>
        <w:drawing>
          <wp:inline distT="0" distB="0" distL="0" distR="0" wp14:anchorId="4193307A" wp14:editId="46B78BF1">
            <wp:extent cx="1409065" cy="857018"/>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001" t="13000" r="7249" b="21500"/>
                    <a:stretch/>
                  </pic:blipFill>
                  <pic:spPr bwMode="auto">
                    <a:xfrm>
                      <a:off x="0" y="0"/>
                      <a:ext cx="1440950" cy="876411"/>
                    </a:xfrm>
                    <a:prstGeom prst="rect">
                      <a:avLst/>
                    </a:prstGeom>
                    <a:ln>
                      <a:noFill/>
                    </a:ln>
                    <a:extLst>
                      <a:ext uri="{53640926-AAD7-44D8-BBD7-CCE9431645EC}">
                        <a14:shadowObscured xmlns:a14="http://schemas.microsoft.com/office/drawing/2010/main"/>
                      </a:ext>
                    </a:extLst>
                  </pic:spPr>
                </pic:pic>
              </a:graphicData>
            </a:graphic>
          </wp:inline>
        </w:drawing>
      </w:r>
      <w:r w:rsidR="008D42F6">
        <w:rPr>
          <w:noProof/>
        </w:rPr>
        <w:drawing>
          <wp:anchor distT="0" distB="0" distL="114300" distR="114300" simplePos="0" relativeHeight="251658240" behindDoc="0" locked="0" layoutInCell="1" allowOverlap="1" wp14:anchorId="0E333E06" wp14:editId="4FA73BA5">
            <wp:simplePos x="723900" y="361950"/>
            <wp:positionH relativeFrom="column">
              <wp:align>left</wp:align>
            </wp:positionH>
            <wp:positionV relativeFrom="paragraph">
              <wp:align>top</wp:align>
            </wp:positionV>
            <wp:extent cx="1590675" cy="838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pic:spPr>
                </pic:pic>
              </a:graphicData>
            </a:graphic>
          </wp:anchor>
        </w:drawing>
      </w:r>
    </w:p>
    <w:p w14:paraId="6314D98A" w14:textId="77777777" w:rsidR="006A4B9C" w:rsidRDefault="00926912" w:rsidP="00D87A8E">
      <w:pPr>
        <w:pStyle w:val="Piedepgina"/>
        <w:tabs>
          <w:tab w:val="clear" w:pos="4419"/>
          <w:tab w:val="clear" w:pos="8838"/>
        </w:tabs>
        <w:jc w:val="center"/>
        <w:rPr>
          <w:rFonts w:ascii="Arial" w:hAnsi="Arial" w:cs="Arial"/>
          <w:b/>
          <w:sz w:val="28"/>
          <w:szCs w:val="28"/>
        </w:rPr>
      </w:pPr>
      <w:r>
        <w:br w:type="textWrapping" w:clear="all"/>
      </w:r>
    </w:p>
    <w:p w14:paraId="0AD4A1E7" w14:textId="77777777" w:rsidR="006A4B9C" w:rsidRDefault="006A4B9C" w:rsidP="00D87A8E">
      <w:pPr>
        <w:pStyle w:val="Piedepgina"/>
        <w:tabs>
          <w:tab w:val="clear" w:pos="4419"/>
          <w:tab w:val="clear" w:pos="8838"/>
        </w:tabs>
        <w:jc w:val="center"/>
        <w:rPr>
          <w:rFonts w:ascii="Arial" w:hAnsi="Arial" w:cs="Arial"/>
          <w:b/>
          <w:sz w:val="28"/>
          <w:szCs w:val="28"/>
        </w:rPr>
      </w:pPr>
    </w:p>
    <w:p w14:paraId="2040973A" w14:textId="77777777" w:rsidR="00F54931" w:rsidRDefault="00F54931" w:rsidP="00F54931">
      <w:pPr>
        <w:pStyle w:val="Piedepgina"/>
        <w:tabs>
          <w:tab w:val="left" w:pos="708"/>
        </w:tabs>
        <w:jc w:val="center"/>
        <w:rPr>
          <w:rFonts w:ascii="Arial" w:hAnsi="Arial" w:cs="Arial"/>
          <w:b/>
          <w:sz w:val="28"/>
          <w:szCs w:val="28"/>
        </w:rPr>
      </w:pPr>
      <w:r>
        <w:rPr>
          <w:rFonts w:ascii="Arial" w:hAnsi="Arial" w:cs="Arial"/>
          <w:b/>
          <w:sz w:val="28"/>
          <w:szCs w:val="28"/>
        </w:rPr>
        <w:t>LEY ORGÁNICA MUNICIPAL PARA EL ESTADO DE HIDALGO</w:t>
      </w:r>
    </w:p>
    <w:p w14:paraId="68F648AF" w14:textId="39939064" w:rsidR="00F54931" w:rsidRDefault="00F11456" w:rsidP="00F54931">
      <w:pPr>
        <w:jc w:val="center"/>
        <w:rPr>
          <w:rFonts w:ascii="Arial" w:hAnsi="Arial" w:cs="Arial"/>
          <w:b/>
          <w:i/>
        </w:rPr>
      </w:pPr>
      <w:r>
        <w:t xml:space="preserve"> ÚLTIMA REFORMA PUBLICADA EN EL PERIÓDICO OFICIAL:28 DE MARZO DE 2022</w:t>
      </w:r>
    </w:p>
    <w:p w14:paraId="3F194475" w14:textId="77777777" w:rsidR="00F54931" w:rsidRDefault="00F54931" w:rsidP="00F54931">
      <w:pPr>
        <w:jc w:val="both"/>
        <w:rPr>
          <w:rFonts w:ascii="Arial" w:hAnsi="Arial" w:cs="Arial"/>
          <w:b/>
          <w:bCs/>
          <w:snapToGrid w:val="0"/>
          <w:sz w:val="20"/>
          <w:szCs w:val="20"/>
        </w:rPr>
      </w:pPr>
    </w:p>
    <w:p w14:paraId="47641212" w14:textId="2E862B05" w:rsidR="00F54931" w:rsidRDefault="00F54931" w:rsidP="00F54931">
      <w:pPr>
        <w:jc w:val="both"/>
        <w:rPr>
          <w:rFonts w:ascii="Arial" w:hAnsi="Arial" w:cs="Arial"/>
          <w:snapToGrid w:val="0"/>
          <w:sz w:val="28"/>
          <w:szCs w:val="28"/>
        </w:rPr>
      </w:pPr>
      <w:r>
        <w:rPr>
          <w:rFonts w:ascii="Arial" w:hAnsi="Arial" w:cs="Arial"/>
          <w:b/>
          <w:bCs/>
          <w:snapToGrid w:val="0"/>
          <w:sz w:val="28"/>
          <w:szCs w:val="28"/>
        </w:rPr>
        <w:t>ARTÍCULO 57.-</w:t>
      </w:r>
      <w:r>
        <w:rPr>
          <w:rFonts w:ascii="Arial" w:hAnsi="Arial" w:cs="Arial"/>
          <w:snapToGrid w:val="0"/>
          <w:sz w:val="28"/>
          <w:szCs w:val="28"/>
        </w:rPr>
        <w:t xml:space="preserve"> Los Municipios tienen facultades concurrentes con el Estado, en las materias siguientes:</w:t>
      </w:r>
    </w:p>
    <w:p w14:paraId="65162703" w14:textId="77777777" w:rsidR="00F54931" w:rsidRDefault="00F54931" w:rsidP="00F54931">
      <w:pPr>
        <w:numPr>
          <w:ilvl w:val="0"/>
          <w:numId w:val="3"/>
        </w:numPr>
        <w:spacing w:after="0" w:line="240" w:lineRule="auto"/>
        <w:ind w:hanging="720"/>
        <w:jc w:val="both"/>
        <w:rPr>
          <w:rFonts w:ascii="Arial" w:hAnsi="Arial" w:cs="Arial"/>
          <w:sz w:val="28"/>
          <w:szCs w:val="28"/>
        </w:rPr>
      </w:pPr>
      <w:r>
        <w:rPr>
          <w:rFonts w:ascii="Arial" w:hAnsi="Arial" w:cs="Arial"/>
          <w:sz w:val="28"/>
          <w:szCs w:val="28"/>
        </w:rPr>
        <w:t xml:space="preserve"> Educación;</w:t>
      </w:r>
    </w:p>
    <w:p w14:paraId="1DE37C34" w14:textId="77777777" w:rsidR="00F54931" w:rsidRDefault="00F54931" w:rsidP="00F54931">
      <w:pPr>
        <w:numPr>
          <w:ilvl w:val="0"/>
          <w:numId w:val="3"/>
        </w:numPr>
        <w:spacing w:after="0" w:line="240" w:lineRule="auto"/>
        <w:ind w:hanging="720"/>
        <w:jc w:val="both"/>
        <w:rPr>
          <w:rFonts w:ascii="Arial" w:hAnsi="Arial" w:cs="Arial"/>
          <w:sz w:val="28"/>
          <w:szCs w:val="28"/>
        </w:rPr>
      </w:pPr>
      <w:r>
        <w:rPr>
          <w:rFonts w:ascii="Arial" w:hAnsi="Arial" w:cs="Arial"/>
          <w:sz w:val="28"/>
          <w:szCs w:val="28"/>
        </w:rPr>
        <w:t xml:space="preserve"> Salud;</w:t>
      </w:r>
    </w:p>
    <w:p w14:paraId="3B208FC3" w14:textId="77777777" w:rsidR="00F54931" w:rsidRDefault="00F54931" w:rsidP="00F54931">
      <w:pPr>
        <w:spacing w:after="0" w:line="240" w:lineRule="auto"/>
        <w:jc w:val="both"/>
        <w:rPr>
          <w:rFonts w:ascii="Arial" w:hAnsi="Arial" w:cs="Arial"/>
          <w:sz w:val="28"/>
          <w:szCs w:val="28"/>
        </w:rPr>
      </w:pPr>
      <w:r>
        <w:rPr>
          <w:rFonts w:ascii="Arial" w:hAnsi="Arial" w:cs="Arial"/>
          <w:sz w:val="28"/>
          <w:szCs w:val="28"/>
        </w:rPr>
        <w:t>VII.     Asistencia Social;</w:t>
      </w:r>
    </w:p>
    <w:p w14:paraId="6B380082" w14:textId="77777777" w:rsidR="00F54931" w:rsidRDefault="00F54931" w:rsidP="00F54931">
      <w:pPr>
        <w:spacing w:after="0" w:line="240" w:lineRule="auto"/>
        <w:jc w:val="both"/>
        <w:rPr>
          <w:rFonts w:ascii="Arial" w:hAnsi="Arial" w:cs="Arial"/>
          <w:sz w:val="28"/>
          <w:szCs w:val="28"/>
        </w:rPr>
      </w:pPr>
      <w:r>
        <w:rPr>
          <w:rFonts w:ascii="Arial" w:hAnsi="Arial" w:cs="Arial"/>
          <w:sz w:val="28"/>
          <w:szCs w:val="28"/>
        </w:rPr>
        <w:t>XII.     Participar en el cumplimiento del Plan Estatal de Desarrollo y los programas sectoriales, regionales y especiales en lo que respecta a su municipio;</w:t>
      </w:r>
    </w:p>
    <w:p w14:paraId="5E785ECE" w14:textId="77777777" w:rsidR="00F54931" w:rsidRDefault="00F54931" w:rsidP="00F54931">
      <w:pPr>
        <w:pStyle w:val="Prrafodelista"/>
        <w:tabs>
          <w:tab w:val="left" w:pos="0"/>
        </w:tabs>
        <w:ind w:left="0"/>
        <w:jc w:val="both"/>
        <w:rPr>
          <w:rFonts w:ascii="Arial" w:hAnsi="Arial" w:cs="Arial"/>
          <w:sz w:val="28"/>
          <w:szCs w:val="28"/>
        </w:rPr>
      </w:pPr>
      <w:r>
        <w:rPr>
          <w:rFonts w:ascii="Arial" w:hAnsi="Arial" w:cs="Arial"/>
          <w:sz w:val="28"/>
          <w:szCs w:val="28"/>
        </w:rPr>
        <w:t>XXIV.  Deporte;</w:t>
      </w:r>
    </w:p>
    <w:p w14:paraId="4AD9EE1C" w14:textId="77777777" w:rsidR="00F54931" w:rsidRDefault="00F54931" w:rsidP="00F54931">
      <w:pPr>
        <w:pStyle w:val="Prrafodelista"/>
        <w:numPr>
          <w:ilvl w:val="0"/>
          <w:numId w:val="4"/>
        </w:numPr>
        <w:tabs>
          <w:tab w:val="left" w:pos="0"/>
        </w:tabs>
        <w:ind w:left="709" w:hanging="709"/>
        <w:contextualSpacing/>
        <w:jc w:val="both"/>
        <w:rPr>
          <w:rFonts w:ascii="Arial" w:hAnsi="Arial" w:cs="Arial"/>
          <w:sz w:val="28"/>
          <w:szCs w:val="28"/>
        </w:rPr>
      </w:pPr>
      <w:r>
        <w:rPr>
          <w:rFonts w:ascii="Arial" w:hAnsi="Arial" w:cs="Arial"/>
          <w:sz w:val="28"/>
          <w:szCs w:val="28"/>
        </w:rPr>
        <w:t xml:space="preserve">  Vivienda; </w:t>
      </w:r>
    </w:p>
    <w:p w14:paraId="259089E1" w14:textId="77777777" w:rsidR="00F54931" w:rsidRDefault="00F54931" w:rsidP="00F54931">
      <w:pPr>
        <w:autoSpaceDE w:val="0"/>
        <w:autoSpaceDN w:val="0"/>
        <w:adjustRightInd w:val="0"/>
        <w:jc w:val="both"/>
        <w:rPr>
          <w:rFonts w:ascii="Arial" w:hAnsi="Arial" w:cs="Arial"/>
          <w:sz w:val="28"/>
          <w:szCs w:val="28"/>
        </w:rPr>
      </w:pPr>
      <w:r>
        <w:rPr>
          <w:rFonts w:ascii="Arial" w:hAnsi="Arial" w:cs="Arial"/>
          <w:sz w:val="28"/>
          <w:szCs w:val="28"/>
        </w:rPr>
        <w:t>XXIX. Protección Integral de los Derechos de las Niñas, Niños y Adolescentes.</w:t>
      </w:r>
    </w:p>
    <w:p w14:paraId="3506512F" w14:textId="77777777" w:rsidR="00F54931" w:rsidRDefault="00F54931" w:rsidP="00F54931">
      <w:pPr>
        <w:jc w:val="both"/>
        <w:rPr>
          <w:rFonts w:ascii="Arial" w:hAnsi="Arial" w:cs="Arial"/>
          <w:sz w:val="28"/>
          <w:szCs w:val="28"/>
        </w:rPr>
      </w:pPr>
      <w:r>
        <w:rPr>
          <w:rFonts w:ascii="Arial" w:hAnsi="Arial" w:cs="Arial"/>
          <w:sz w:val="28"/>
          <w:szCs w:val="28"/>
        </w:rPr>
        <w:t>La concurrencia comprende la elaboración, ejecución y operación de programas, obras, servicios y acciones, de acuerdo con sus capacidades técnicas, administrativas y financieras, conforme a los convenios de coordinación que, para tal efecto, se celebren y en los términos que disponga la legislación correspondiente.</w:t>
      </w:r>
    </w:p>
    <w:p w14:paraId="27D739C4" w14:textId="77777777" w:rsidR="006A4B9C" w:rsidRDefault="006A4B9C" w:rsidP="00D87A8E">
      <w:pPr>
        <w:pStyle w:val="Piedepgina"/>
        <w:tabs>
          <w:tab w:val="clear" w:pos="4419"/>
          <w:tab w:val="clear" w:pos="8838"/>
        </w:tabs>
        <w:jc w:val="center"/>
        <w:rPr>
          <w:rFonts w:ascii="Arial" w:hAnsi="Arial" w:cs="Arial"/>
          <w:b/>
          <w:sz w:val="28"/>
          <w:szCs w:val="28"/>
        </w:rPr>
      </w:pPr>
    </w:p>
    <w:p w14:paraId="6D2EE43E" w14:textId="77777777" w:rsidR="006A4B9C" w:rsidRDefault="006A4B9C" w:rsidP="00D87A8E">
      <w:pPr>
        <w:pStyle w:val="Piedepgina"/>
        <w:tabs>
          <w:tab w:val="clear" w:pos="4419"/>
          <w:tab w:val="clear" w:pos="8838"/>
        </w:tabs>
        <w:jc w:val="center"/>
        <w:rPr>
          <w:rFonts w:ascii="Arial" w:hAnsi="Arial" w:cs="Arial"/>
          <w:b/>
          <w:sz w:val="28"/>
          <w:szCs w:val="28"/>
        </w:rPr>
      </w:pPr>
    </w:p>
    <w:p w14:paraId="4678507F" w14:textId="06CFCE6D" w:rsidR="00D87A8E" w:rsidRDefault="006A4B9C" w:rsidP="00D87A8E">
      <w:pPr>
        <w:pStyle w:val="Piedepgina"/>
        <w:tabs>
          <w:tab w:val="clear" w:pos="4419"/>
          <w:tab w:val="clear" w:pos="8838"/>
        </w:tabs>
        <w:jc w:val="center"/>
        <w:rPr>
          <w:rFonts w:ascii="Arial" w:hAnsi="Arial" w:cs="Arial"/>
          <w:b/>
          <w:sz w:val="28"/>
          <w:szCs w:val="28"/>
        </w:rPr>
      </w:pPr>
      <w:r>
        <w:rPr>
          <w:rFonts w:ascii="Arial" w:hAnsi="Arial" w:cs="Arial"/>
          <w:b/>
          <w:sz w:val="28"/>
          <w:szCs w:val="28"/>
        </w:rPr>
        <w:t>FACULTAD SECRETARIA DE DESARROLLO SOCIAL</w:t>
      </w:r>
    </w:p>
    <w:p w14:paraId="195F1795" w14:textId="70185E08" w:rsidR="006A4B9C" w:rsidRDefault="006A4B9C" w:rsidP="00D87A8E">
      <w:pPr>
        <w:pStyle w:val="Piedepgina"/>
        <w:tabs>
          <w:tab w:val="clear" w:pos="4419"/>
          <w:tab w:val="clear" w:pos="8838"/>
        </w:tabs>
        <w:jc w:val="center"/>
        <w:rPr>
          <w:rFonts w:ascii="Arial" w:hAnsi="Arial" w:cs="Arial"/>
          <w:b/>
          <w:sz w:val="28"/>
          <w:szCs w:val="28"/>
        </w:rPr>
      </w:pPr>
    </w:p>
    <w:p w14:paraId="71DC4DDE" w14:textId="15F95D73" w:rsidR="006A4B9C" w:rsidRPr="006A4B9C" w:rsidRDefault="006A4B9C" w:rsidP="00D87A8E">
      <w:pPr>
        <w:pStyle w:val="Piedepgina"/>
        <w:tabs>
          <w:tab w:val="clear" w:pos="4419"/>
          <w:tab w:val="clear" w:pos="8838"/>
        </w:tabs>
        <w:jc w:val="center"/>
        <w:rPr>
          <w:rFonts w:ascii="Arial" w:hAnsi="Arial" w:cs="Arial"/>
          <w:bCs/>
          <w:sz w:val="28"/>
          <w:szCs w:val="28"/>
        </w:rPr>
      </w:pPr>
      <w:r w:rsidRPr="006A4B9C">
        <w:rPr>
          <w:rFonts w:ascii="Arial" w:hAnsi="Arial" w:cs="Arial"/>
          <w:bCs/>
          <w:sz w:val="28"/>
          <w:szCs w:val="28"/>
        </w:rPr>
        <w:t>Prom</w:t>
      </w:r>
      <w:r>
        <w:rPr>
          <w:rFonts w:ascii="Arial" w:hAnsi="Arial" w:cs="Arial"/>
          <w:bCs/>
          <w:sz w:val="28"/>
          <w:szCs w:val="28"/>
        </w:rPr>
        <w:t>over acciones y estrategias para el ejercicio de los derechos ciudadanos en materia social con énfasis en la reducción de causas de vulnerabilidad en el Municipio, generando igualdad de oportunidades de desarrollo para todos los Huichapenses.</w:t>
      </w:r>
    </w:p>
    <w:p w14:paraId="332D1264" w14:textId="63275E38" w:rsidR="00BF4B4A" w:rsidRDefault="00BF4B4A" w:rsidP="00D87A8E">
      <w:pPr>
        <w:pStyle w:val="Piedepgina"/>
        <w:tabs>
          <w:tab w:val="clear" w:pos="4419"/>
          <w:tab w:val="clear" w:pos="8838"/>
        </w:tabs>
        <w:jc w:val="center"/>
        <w:rPr>
          <w:rFonts w:ascii="Arial" w:hAnsi="Arial" w:cs="Arial"/>
          <w:b/>
          <w:sz w:val="28"/>
          <w:szCs w:val="28"/>
        </w:rPr>
      </w:pPr>
    </w:p>
    <w:p w14:paraId="785666A7" w14:textId="77777777" w:rsidR="00BF4B4A" w:rsidRPr="00964B84" w:rsidRDefault="00BF4B4A" w:rsidP="00D87A8E">
      <w:pPr>
        <w:pStyle w:val="Piedepgina"/>
        <w:tabs>
          <w:tab w:val="clear" w:pos="4419"/>
          <w:tab w:val="clear" w:pos="8838"/>
        </w:tabs>
        <w:jc w:val="center"/>
        <w:rPr>
          <w:rFonts w:ascii="Arial" w:hAnsi="Arial" w:cs="Arial"/>
          <w:b/>
          <w:sz w:val="28"/>
          <w:szCs w:val="28"/>
        </w:rPr>
      </w:pPr>
    </w:p>
    <w:p w14:paraId="5A4D07D5" w14:textId="58324EDE" w:rsidR="00966069" w:rsidRDefault="00966069" w:rsidP="006B2859">
      <w:pPr>
        <w:jc w:val="both"/>
        <w:rPr>
          <w:rFonts w:ascii="Arial" w:hAnsi="Arial" w:cs="Arial"/>
          <w:sz w:val="28"/>
          <w:szCs w:val="28"/>
        </w:rPr>
      </w:pPr>
    </w:p>
    <w:p w14:paraId="7A31FC05" w14:textId="77777777" w:rsidR="006B2859" w:rsidRPr="00964B84" w:rsidRDefault="006B2859" w:rsidP="006B2859">
      <w:pPr>
        <w:jc w:val="both"/>
        <w:rPr>
          <w:rFonts w:ascii="Arial" w:hAnsi="Arial" w:cs="Arial"/>
          <w:snapToGrid w:val="0"/>
          <w:sz w:val="28"/>
          <w:szCs w:val="28"/>
        </w:rPr>
      </w:pPr>
    </w:p>
    <w:p w14:paraId="093921EE" w14:textId="77777777" w:rsidR="006B2859" w:rsidRPr="00964B84" w:rsidRDefault="006B2859" w:rsidP="006B2859">
      <w:pPr>
        <w:rPr>
          <w:rFonts w:ascii="Arial" w:hAnsi="Arial" w:cs="Arial"/>
          <w:b/>
          <w:iCs/>
          <w:sz w:val="28"/>
          <w:szCs w:val="28"/>
        </w:rPr>
      </w:pPr>
    </w:p>
    <w:p w14:paraId="602FF9F8" w14:textId="6A2C4F5A" w:rsidR="00A41112" w:rsidRPr="006B2859" w:rsidRDefault="00A41112" w:rsidP="00D87A8E">
      <w:pPr>
        <w:tabs>
          <w:tab w:val="left" w:pos="4035"/>
        </w:tabs>
        <w:ind w:left="-567"/>
        <w:jc w:val="center"/>
        <w:rPr>
          <w:rFonts w:ascii="Arial" w:hAnsi="Arial" w:cs="Arial"/>
          <w:b/>
          <w:sz w:val="20"/>
          <w:szCs w:val="20"/>
        </w:rPr>
      </w:pPr>
    </w:p>
    <w:p w14:paraId="3B7384FF" w14:textId="59C20B5E" w:rsidR="00926912" w:rsidRPr="006B2859" w:rsidRDefault="00926912" w:rsidP="008D42F6">
      <w:pPr>
        <w:ind w:left="-567"/>
        <w:rPr>
          <w:b/>
          <w:sz w:val="20"/>
          <w:szCs w:val="20"/>
        </w:rPr>
      </w:pPr>
    </w:p>
    <w:p w14:paraId="043B0219" w14:textId="77777777" w:rsidR="00926912" w:rsidRPr="006B2859" w:rsidRDefault="00926912" w:rsidP="008D42F6">
      <w:pPr>
        <w:ind w:left="-567"/>
        <w:rPr>
          <w:sz w:val="20"/>
          <w:szCs w:val="20"/>
        </w:rPr>
      </w:pPr>
    </w:p>
    <w:sectPr w:rsidR="00926912" w:rsidRPr="006B2859" w:rsidSect="008D42F6">
      <w:pgSz w:w="12240" w:h="15840"/>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17B4"/>
    <w:multiLevelType w:val="hybridMultilevel"/>
    <w:tmpl w:val="05106EC4"/>
    <w:lvl w:ilvl="0" w:tplc="DC94C558">
      <w:start w:val="1"/>
      <w:numFmt w:val="upperRoman"/>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9C3028"/>
    <w:multiLevelType w:val="hybridMultilevel"/>
    <w:tmpl w:val="7D8E575E"/>
    <w:lvl w:ilvl="0" w:tplc="9F7E4794">
      <w:start w:val="25"/>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F6"/>
    <w:rsid w:val="00194926"/>
    <w:rsid w:val="00410F8F"/>
    <w:rsid w:val="005863FA"/>
    <w:rsid w:val="006A4B9C"/>
    <w:rsid w:val="006B2859"/>
    <w:rsid w:val="00723F5A"/>
    <w:rsid w:val="008D42F6"/>
    <w:rsid w:val="00926912"/>
    <w:rsid w:val="00964B84"/>
    <w:rsid w:val="00966069"/>
    <w:rsid w:val="00A41112"/>
    <w:rsid w:val="00AF589E"/>
    <w:rsid w:val="00BF4B4A"/>
    <w:rsid w:val="00C55FCB"/>
    <w:rsid w:val="00D87A8E"/>
    <w:rsid w:val="00E42D08"/>
    <w:rsid w:val="00F11456"/>
    <w:rsid w:val="00F54931"/>
    <w:rsid w:val="00FD6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894C"/>
  <w15:chartTrackingRefBased/>
  <w15:docId w15:val="{1CA3F6B5-77B6-4DDF-ACD6-A0C37A7F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87A8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87A8E"/>
    <w:rPr>
      <w:rFonts w:ascii="Times New Roman" w:eastAsia="Times New Roman" w:hAnsi="Times New Roman" w:cs="Times New Roman"/>
      <w:sz w:val="20"/>
      <w:szCs w:val="20"/>
      <w:lang w:val="es-ES" w:eastAsia="es-ES"/>
    </w:rPr>
  </w:style>
  <w:style w:type="paragraph" w:styleId="Prrafodelista">
    <w:name w:val="List Paragraph"/>
    <w:aliases w:val="lp1,List Paragraph1"/>
    <w:basedOn w:val="Normal"/>
    <w:link w:val="PrrafodelistaCar"/>
    <w:uiPriority w:val="34"/>
    <w:qFormat/>
    <w:rsid w:val="006B2859"/>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
    <w:link w:val="Prrafodelista"/>
    <w:uiPriority w:val="34"/>
    <w:rsid w:val="006B285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7050">
      <w:bodyDiv w:val="1"/>
      <w:marLeft w:val="0"/>
      <w:marRight w:val="0"/>
      <w:marTop w:val="0"/>
      <w:marBottom w:val="0"/>
      <w:divBdr>
        <w:top w:val="none" w:sz="0" w:space="0" w:color="auto"/>
        <w:left w:val="none" w:sz="0" w:space="0" w:color="auto"/>
        <w:bottom w:val="none" w:sz="0" w:space="0" w:color="auto"/>
        <w:right w:val="none" w:sz="0" w:space="0" w:color="auto"/>
      </w:divBdr>
    </w:div>
    <w:div w:id="14644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Emma Cruz trejo</dc:creator>
  <cp:keywords/>
  <dc:description/>
  <cp:lastModifiedBy>Huichapan Municipio</cp:lastModifiedBy>
  <cp:revision>7</cp:revision>
  <dcterms:created xsi:type="dcterms:W3CDTF">2021-10-13T19:40:00Z</dcterms:created>
  <dcterms:modified xsi:type="dcterms:W3CDTF">2022-04-05T16:36:00Z</dcterms:modified>
</cp:coreProperties>
</file>